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ind w:hanging="709" w:left="709"/>
        <w:jc w:val="both"/>
        <w:rPr>
          <w:b/>
          <w:sz w:val="28"/>
          <w:szCs w:val="28"/>
        </w:rPr>
      </w:pPr>
      <w:r>
        <w:rPr>
          <w:b/>
          <w:sz w:val="28"/>
          <w:szCs w:val="28"/>
        </w:rPr>
        <w:t>ΕΡΓΟ : « Εργασίες επανεγκατάστασης και παράδοσης σε πλήρη λειτουργία του Ακτινολογικού Μηχανήματος …………………………… στο Κέντρο Υγείας ……………………………….»</w:t>
        <w:br/>
      </w:r>
    </w:p>
    <w:p>
      <w:pPr>
        <w:pStyle w:val="Normal"/>
        <w:ind w:hanging="709" w:left="709"/>
        <w:jc w:val="center"/>
        <w:rPr>
          <w:b/>
          <w:sz w:val="28"/>
          <w:szCs w:val="28"/>
        </w:rPr>
      </w:pPr>
      <w:r>
        <w:rPr>
          <w:b/>
          <w:sz w:val="28"/>
          <w:szCs w:val="28"/>
        </w:rPr>
        <w:t>Τεχνικές Προδιαγραφές – Αναλυτική περιγραφή Έργου</w:t>
      </w:r>
    </w:p>
    <w:p>
      <w:pPr>
        <w:pStyle w:val="Normal"/>
        <w:rPr>
          <w:b/>
          <w:sz w:val="24"/>
          <w:szCs w:val="24"/>
        </w:rPr>
      </w:pPr>
      <w:r>
        <w:rPr>
          <w:b/>
          <w:sz w:val="24"/>
          <w:szCs w:val="24"/>
        </w:rPr>
        <w:t xml:space="preserve"> </w:t>
      </w:r>
      <w:r>
        <w:rPr>
          <w:b/>
          <w:sz w:val="24"/>
          <w:szCs w:val="24"/>
        </w:rPr>
        <w:t>ΓΕΝΙΚΑ :</w:t>
        <w:br/>
      </w:r>
    </w:p>
    <w:p>
      <w:pPr>
        <w:pStyle w:val="ListParagraph"/>
        <w:numPr>
          <w:ilvl w:val="0"/>
          <w:numId w:val="1"/>
        </w:numPr>
        <w:spacing w:lineRule="auto" w:line="300" w:before="0" w:after="0"/>
        <w:ind w:hanging="357" w:left="425"/>
        <w:contextualSpacing/>
        <w:jc w:val="both"/>
        <w:rPr>
          <w:sz w:val="24"/>
          <w:szCs w:val="24"/>
        </w:rPr>
      </w:pPr>
      <w:r>
        <w:rPr>
          <w:sz w:val="24"/>
          <w:szCs w:val="24"/>
        </w:rPr>
        <w:t xml:space="preserve">Η Ανάδοχος εταιρεία υποχρεούται να βεβαιώσει εγγράφως ότι έχει λάβει γνώση, της λειτουργικής κατάστασης του Ακτινολογικού μηχανήματος, </w:t>
      </w:r>
      <w:bookmarkStart w:id="0" w:name="_Hlk177112554"/>
      <w:r>
        <w:rPr>
          <w:sz w:val="24"/>
          <w:szCs w:val="24"/>
        </w:rPr>
        <w:t>του χώρου όπου είναι προσωρινά αποθηκευμένο στο εκάστοτε Κέντρο Υγείας, καθώς στα συγκεκριμένα Κέντρα Υγείας θα υλοποιούνται ταυτόχρονα έργα ενεργειακής αναβάθμισης.</w:t>
      </w:r>
      <w:bookmarkEnd w:id="0"/>
    </w:p>
    <w:p>
      <w:pPr>
        <w:pStyle w:val="ListParagraph"/>
        <w:numPr>
          <w:ilvl w:val="0"/>
          <w:numId w:val="1"/>
        </w:numPr>
        <w:spacing w:lineRule="auto" w:line="300" w:before="0" w:after="0"/>
        <w:ind w:hanging="357" w:left="425"/>
        <w:contextualSpacing/>
        <w:jc w:val="both"/>
        <w:rPr>
          <w:rFonts w:cs="Calibri" w:cstheme="minorHAnsi"/>
          <w:sz w:val="24"/>
          <w:szCs w:val="24"/>
        </w:rPr>
      </w:pPr>
      <w:r>
        <w:rPr>
          <w:rFonts w:cs="Calibri" w:cstheme="minorHAnsi"/>
          <w:sz w:val="24"/>
          <w:szCs w:val="24"/>
        </w:rPr>
        <w:t>Να παραδώσει αναλυτικό χρονοδιάγραμμα υλοποίησης των εργασιών, το οποίο για το στάδιο της επανεγκατάστασης τις πέντε (5) ημέρες και το στάδιο επαναλειτουργίας (μετά και τους τελικούς ελέγχους από ακτινοφυσικό) τις δέκα (10) ημέρες.</w:t>
      </w:r>
    </w:p>
    <w:p>
      <w:pPr>
        <w:pStyle w:val="ListParagraph"/>
        <w:numPr>
          <w:ilvl w:val="0"/>
          <w:numId w:val="1"/>
        </w:numPr>
        <w:spacing w:lineRule="auto" w:line="300" w:before="0" w:after="0"/>
        <w:ind w:hanging="357" w:left="425"/>
        <w:contextualSpacing/>
        <w:jc w:val="both"/>
        <w:rPr>
          <w:sz w:val="24"/>
          <w:szCs w:val="24"/>
        </w:rPr>
      </w:pPr>
      <w:r>
        <w:rPr>
          <w:sz w:val="24"/>
          <w:szCs w:val="24"/>
        </w:rPr>
        <w:t>Για όλες τις εργασίες η Ανάδοχος εταιρεία οφείλει να χρησιμοποιεί δικό της προσωπικό και μέσα (οχήματα, εργαλεία, κλπ), χωρίς να απασχολεί προσωπικό του Κέντρου Υγείας (π.χ. εσωτερικές μεταφορές εξοπλισμού κλπ).</w:t>
      </w:r>
    </w:p>
    <w:p>
      <w:pPr>
        <w:pStyle w:val="ListParagraph"/>
        <w:numPr>
          <w:ilvl w:val="0"/>
          <w:numId w:val="1"/>
        </w:numPr>
        <w:spacing w:lineRule="auto" w:line="300" w:before="0" w:after="0"/>
        <w:ind w:hanging="357" w:left="425"/>
        <w:contextualSpacing/>
        <w:jc w:val="both"/>
        <w:rPr>
          <w:sz w:val="24"/>
          <w:szCs w:val="24"/>
        </w:rPr>
      </w:pPr>
      <w:r>
        <w:rPr>
          <w:sz w:val="24"/>
          <w:szCs w:val="24"/>
        </w:rPr>
        <w:t>Η Ανάδοχος εταιρεία οφείλει να παίρνει όλα τα απαιτούμενα μέτρα προστασίας – ασφάλειας του τεχνικού προσωπικού που απασχολεί. Το Κέντρο Υγείας ουδεμία ευθύνη φέρει σε περίπτωση ατυχήματος του προσωπικού του ή οποιουδήποτε άλλου ατόμου, που οφείλεται σε αμέλεια, λάθος πρακτική ή λάθος ενέργεια του προσωπικού της Αναδόχου. Όλες οι εργασίες θα επιβλέπονται υποχρεωτικά από Μηχανικό της Αναδόχου σύμφωνα με την κείμενη Νομοθεσία.</w:t>
      </w:r>
    </w:p>
    <w:p>
      <w:pPr>
        <w:pStyle w:val="ListParagraph"/>
        <w:numPr>
          <w:ilvl w:val="0"/>
          <w:numId w:val="1"/>
        </w:numPr>
        <w:spacing w:lineRule="auto" w:line="300" w:before="0" w:after="0"/>
        <w:ind w:hanging="357" w:left="425"/>
        <w:contextualSpacing/>
        <w:jc w:val="both"/>
        <w:rPr>
          <w:sz w:val="24"/>
          <w:szCs w:val="24"/>
        </w:rPr>
      </w:pPr>
      <w:r>
        <w:rPr>
          <w:sz w:val="24"/>
          <w:szCs w:val="24"/>
        </w:rPr>
        <w:t xml:space="preserve"> </w:t>
      </w:r>
      <w:r>
        <w:rPr>
          <w:sz w:val="24"/>
          <w:szCs w:val="24"/>
        </w:rPr>
        <w:t>Η Ανάδοχος εταιρεία υποχρεούται (εφόσον ζητηθεί από την αναθέτουσα αρχή), στην κατάθεση σχεδίου του ηλεκτρολογικού πίνακα καθώς και των ηλεκτρολογικών απαιτήσεων του ακτινολογικού μηχανήματος σύμφωνα με το service manual του κατασκευαστικού οίκου.</w:t>
      </w:r>
    </w:p>
    <w:p>
      <w:pPr>
        <w:pStyle w:val="ListParagraph"/>
        <w:numPr>
          <w:ilvl w:val="0"/>
          <w:numId w:val="1"/>
        </w:numPr>
        <w:spacing w:lineRule="auto" w:line="300" w:before="0" w:after="0"/>
        <w:ind w:hanging="357" w:left="425"/>
        <w:contextualSpacing/>
        <w:jc w:val="both"/>
        <w:rPr>
          <w:sz w:val="24"/>
          <w:szCs w:val="24"/>
        </w:rPr>
      </w:pPr>
      <w:r>
        <w:rPr>
          <w:sz w:val="24"/>
          <w:szCs w:val="24"/>
        </w:rPr>
        <w:t xml:space="preserve">Οι εργασίες </w:t>
      </w:r>
      <w:bookmarkStart w:id="1" w:name="_Hlk177112973"/>
      <w:r>
        <w:rPr>
          <w:sz w:val="24"/>
          <w:szCs w:val="24"/>
        </w:rPr>
        <w:t xml:space="preserve">επανεγκατάστασης και επαναλειτουργίας </w:t>
      </w:r>
      <w:bookmarkEnd w:id="1"/>
      <w:r>
        <w:rPr>
          <w:sz w:val="24"/>
          <w:szCs w:val="24"/>
        </w:rPr>
        <w:t>θα πρα</w:t>
      </w:r>
      <w:bookmarkStart w:id="2" w:name="_GoBack"/>
      <w:bookmarkEnd w:id="2"/>
      <w:r>
        <w:rPr>
          <w:sz w:val="24"/>
          <w:szCs w:val="24"/>
        </w:rPr>
        <w:t>γματοποιούνται με την χρήση εξειδικευμένων εργαλείων και οργάνων από κατάλληλα εκπαιδευμένους και πιστοποιημένους μηχανικούς.</w:t>
      </w:r>
    </w:p>
    <w:p>
      <w:pPr>
        <w:pStyle w:val="ListParagraph"/>
        <w:numPr>
          <w:ilvl w:val="0"/>
          <w:numId w:val="1"/>
        </w:numPr>
        <w:spacing w:lineRule="auto" w:line="300" w:before="0" w:after="0"/>
        <w:ind w:hanging="357" w:left="425"/>
        <w:contextualSpacing/>
        <w:jc w:val="both"/>
        <w:rPr>
          <w:sz w:val="24"/>
          <w:szCs w:val="24"/>
        </w:rPr>
      </w:pPr>
      <w:r>
        <w:rPr>
          <w:sz w:val="24"/>
          <w:szCs w:val="24"/>
        </w:rPr>
        <w:t>Η Ανάδοχος εταιρεία να διαθέτει προσωπικό  με  σχετικές νόμιμες άδειες,  αποδεδειγμένη  εμπειρία  και εκπαίδευση  από τον κατασκευαστικό οίκο στο συγκεκριμένο μηχάνημα. Απαιτείται επί ποινή απόρριψης,  η κατάθεση  των πιστοποιητικών εκπαίδευσης  που παρέχει ο Κατασκευαστικός Οίκος σε τεχνικούς που παρακολουθούν τις εκπαιδεύσεις.</w:t>
      </w:r>
    </w:p>
    <w:p>
      <w:pPr>
        <w:pStyle w:val="ListParagraph"/>
        <w:numPr>
          <w:ilvl w:val="0"/>
          <w:numId w:val="1"/>
        </w:numPr>
        <w:spacing w:lineRule="auto" w:line="300" w:before="0" w:after="0"/>
        <w:ind w:hanging="357" w:left="425"/>
        <w:contextualSpacing/>
        <w:jc w:val="both"/>
        <w:rPr>
          <w:sz w:val="24"/>
          <w:szCs w:val="24"/>
        </w:rPr>
      </w:pPr>
      <w:r>
        <w:rPr>
          <w:sz w:val="24"/>
          <w:szCs w:val="24"/>
        </w:rPr>
        <w:t>Η Ανάδοχος εταιρεία να διαθέτει τα κάτωθι πιστοποιητικά, τα οποία πρέπει να κατατεθούν επί ποινή απόρριψης :</w:t>
      </w:r>
    </w:p>
    <w:p>
      <w:pPr>
        <w:pStyle w:val="NoSpacing"/>
        <w:numPr>
          <w:ilvl w:val="0"/>
          <w:numId w:val="3"/>
        </w:numPr>
        <w:spacing w:lineRule="auto" w:line="300"/>
        <w:ind w:hanging="360" w:left="1276"/>
        <w:jc w:val="both"/>
        <w:rPr>
          <w:sz w:val="24"/>
          <w:szCs w:val="24"/>
        </w:rPr>
      </w:pPr>
      <w:r>
        <w:rPr>
          <w:sz w:val="24"/>
          <w:szCs w:val="24"/>
        </w:rPr>
        <w:t>Πιστοποίηση Σύστηματος Διαχείρισης Ποιότητας ISO 9001:2015</w:t>
      </w:r>
    </w:p>
    <w:p>
      <w:pPr>
        <w:pStyle w:val="NoSpacing"/>
        <w:numPr>
          <w:ilvl w:val="0"/>
          <w:numId w:val="3"/>
        </w:numPr>
        <w:spacing w:lineRule="auto" w:line="300"/>
        <w:ind w:hanging="360" w:left="1276"/>
        <w:jc w:val="both"/>
        <w:rPr>
          <w:sz w:val="24"/>
          <w:szCs w:val="24"/>
        </w:rPr>
      </w:pPr>
      <w:r>
        <w:rPr>
          <w:sz w:val="24"/>
          <w:szCs w:val="24"/>
        </w:rPr>
        <w:t>ISO 13485:2016 για την «διακίνηση και τεχνική υποστήριξη Ιατροτεχνολογικών προϊόντων»</w:t>
      </w:r>
    </w:p>
    <w:p>
      <w:pPr>
        <w:pStyle w:val="NoSpacing"/>
        <w:numPr>
          <w:ilvl w:val="0"/>
          <w:numId w:val="3"/>
        </w:numPr>
        <w:spacing w:lineRule="auto" w:line="300"/>
        <w:ind w:hanging="360" w:left="1276"/>
        <w:jc w:val="both"/>
        <w:rPr>
          <w:sz w:val="24"/>
          <w:szCs w:val="24"/>
        </w:rPr>
      </w:pPr>
      <w:r>
        <w:rPr>
          <w:sz w:val="24"/>
          <w:szCs w:val="24"/>
        </w:rPr>
        <w:t xml:space="preserve">Πιστοποίηση σύμφωνα με την Υ.Α. 1348/2004 περί «Διακίνησης Ιατροτεχνολογικών Προϊόντων». </w:t>
      </w:r>
    </w:p>
    <w:p>
      <w:pPr>
        <w:pStyle w:val="NoSpacing"/>
        <w:numPr>
          <w:ilvl w:val="0"/>
          <w:numId w:val="3"/>
        </w:numPr>
        <w:spacing w:lineRule="auto" w:line="300"/>
        <w:ind w:hanging="360" w:left="1276"/>
        <w:jc w:val="both"/>
        <w:rPr>
          <w:sz w:val="24"/>
          <w:szCs w:val="24"/>
        </w:rPr>
      </w:pPr>
      <w:r>
        <w:rPr>
          <w:sz w:val="24"/>
          <w:szCs w:val="24"/>
        </w:rPr>
        <w:t xml:space="preserve">Σχετικές Βεβαιώσεις ότι είναι ενταγμένη σε πρόγραμμα εναλλακτικής διαχείρισης </w:t>
      </w:r>
      <w:r>
        <w:rPr>
          <w:color w:val="222222"/>
          <w:sz w:val="24"/>
          <w:szCs w:val="24"/>
          <w:shd w:fill="FFFFFF" w:val="clear"/>
        </w:rPr>
        <w:t>Α.Η.Η.Ε. βάσει του Π.Δ. 117/2004.</w:t>
      </w:r>
    </w:p>
    <w:p>
      <w:pPr>
        <w:pStyle w:val="NoSpacing"/>
        <w:numPr>
          <w:ilvl w:val="0"/>
          <w:numId w:val="3"/>
        </w:numPr>
        <w:spacing w:lineRule="auto" w:line="300"/>
        <w:ind w:hanging="360" w:left="1276"/>
        <w:jc w:val="both"/>
        <w:rPr>
          <w:sz w:val="24"/>
          <w:szCs w:val="24"/>
        </w:rPr>
      </w:pPr>
      <w:r>
        <w:rPr>
          <w:sz w:val="24"/>
          <w:szCs w:val="24"/>
        </w:rPr>
        <w:t>Πιστοποίηση σύμφωνα με το πρότυπο περιβαλλοντικής διαχείρισης ISO 14001:2015</w:t>
      </w:r>
    </w:p>
    <w:p>
      <w:pPr>
        <w:pStyle w:val="NoSpacing"/>
        <w:numPr>
          <w:ilvl w:val="0"/>
          <w:numId w:val="3"/>
        </w:numPr>
        <w:spacing w:lineRule="auto" w:line="300"/>
        <w:ind w:hanging="360" w:left="1276"/>
        <w:jc w:val="both"/>
        <w:rPr>
          <w:sz w:val="24"/>
          <w:szCs w:val="24"/>
          <w:lang w:eastAsia="el-GR"/>
        </w:rPr>
      </w:pPr>
      <w:r>
        <w:rPr>
          <w:sz w:val="24"/>
          <w:szCs w:val="24"/>
        </w:rPr>
        <w:t>Πιστοποίηση σύμφωνα με το πρότυπο ISO 45001 «συστήματα διαχείρισης για την υγεία και ασφάλεια στην εργασία»</w:t>
      </w:r>
      <w:r>
        <w:rPr>
          <w:sz w:val="24"/>
          <w:szCs w:val="24"/>
          <w:lang w:eastAsia="el-GR"/>
        </w:rPr>
        <w:t xml:space="preserve">. </w:t>
      </w:r>
    </w:p>
    <w:p>
      <w:pPr>
        <w:pStyle w:val="NoSpacing"/>
        <w:numPr>
          <w:ilvl w:val="0"/>
          <w:numId w:val="3"/>
        </w:numPr>
        <w:spacing w:lineRule="auto" w:line="300"/>
        <w:ind w:hanging="360" w:left="1276"/>
        <w:jc w:val="both"/>
        <w:rPr>
          <w:sz w:val="24"/>
          <w:szCs w:val="24"/>
          <w:lang w:eastAsia="el-GR"/>
        </w:rPr>
      </w:pPr>
      <w:r>
        <w:rPr>
          <w:sz w:val="24"/>
          <w:szCs w:val="24"/>
          <w:lang w:eastAsia="el-GR"/>
        </w:rPr>
        <w:t>Πιστοποίηση σύμφωνα με το πρότυπο ΕΛΟΤ ISO/IEC 27001:2013 για την «διαχείριση της ασφάλειας των πληροφοριών».</w:t>
      </w:r>
    </w:p>
    <w:p>
      <w:pPr>
        <w:pStyle w:val="ListParagraph"/>
        <w:numPr>
          <w:ilvl w:val="0"/>
          <w:numId w:val="1"/>
        </w:numPr>
        <w:spacing w:lineRule="auto" w:line="300" w:before="0" w:after="0"/>
        <w:ind w:hanging="357" w:left="425"/>
        <w:contextualSpacing/>
        <w:jc w:val="both"/>
        <w:rPr>
          <w:sz w:val="24"/>
          <w:szCs w:val="24"/>
        </w:rPr>
      </w:pPr>
      <w:r>
        <w:rPr>
          <w:sz w:val="24"/>
          <w:szCs w:val="24"/>
        </w:rPr>
        <w:t xml:space="preserve">Η Ανάδοχος εταιρεία υποχρεούται στην προσφορά που θα κάνει να συμπεριλαμβάνει αναλυτικό φύλλο συμμόρφωσης για όλους τους όρους, επί ποινή αποκλεισμού. </w:t>
      </w:r>
    </w:p>
    <w:p>
      <w:pPr>
        <w:pStyle w:val="Normal"/>
        <w:jc w:val="both"/>
        <w:rPr>
          <w:b/>
          <w:sz w:val="24"/>
          <w:szCs w:val="24"/>
        </w:rPr>
      </w:pPr>
      <w:r>
        <w:rPr>
          <w:b/>
          <w:sz w:val="24"/>
          <w:szCs w:val="24"/>
        </w:rPr>
      </w:r>
    </w:p>
    <w:p>
      <w:pPr>
        <w:pStyle w:val="Normal"/>
        <w:jc w:val="both"/>
        <w:rPr>
          <w:b/>
          <w:sz w:val="24"/>
          <w:szCs w:val="24"/>
        </w:rPr>
      </w:pPr>
      <w:r>
        <w:rPr>
          <w:b/>
          <w:sz w:val="24"/>
          <w:szCs w:val="24"/>
        </w:rPr>
        <w:t xml:space="preserve">  </w:t>
      </w:r>
      <w:r>
        <w:rPr>
          <w:b/>
          <w:sz w:val="24"/>
          <w:szCs w:val="24"/>
        </w:rPr>
        <w:t>ΕΠΑΝΕΓΚΑΤΑΣΤΑΣΗ  -  ΕΠΑΝΑΛΕΙΤΟΥΡΓΕΙΑ ΑΚΤΙΝΟΛΟΓΙΚΟΥ ΜΗΧΑΝΗΜΑΤΟΣ</w:t>
      </w:r>
    </w:p>
    <w:p>
      <w:pPr>
        <w:pStyle w:val="ListParagraph"/>
        <w:numPr>
          <w:ilvl w:val="0"/>
          <w:numId w:val="2"/>
        </w:numPr>
        <w:spacing w:lineRule="auto" w:line="300"/>
        <w:ind w:hanging="567" w:left="567"/>
        <w:jc w:val="both"/>
        <w:rPr>
          <w:sz w:val="24"/>
          <w:szCs w:val="24"/>
        </w:rPr>
      </w:pPr>
      <w:r>
        <w:rPr>
          <w:sz w:val="24"/>
          <w:szCs w:val="24"/>
        </w:rPr>
        <w:t>Μετά την επανεγκατάσταση να πραγματοποιηθούν εργασίες προληπτικής συντήρησης ως κάτωθι:</w:t>
      </w:r>
    </w:p>
    <w:p>
      <w:pPr>
        <w:pStyle w:val="ListParagraph"/>
        <w:numPr>
          <w:ilvl w:val="0"/>
          <w:numId w:val="4"/>
        </w:numPr>
        <w:spacing w:lineRule="auto" w:line="300"/>
        <w:ind w:hanging="360" w:left="1276"/>
        <w:jc w:val="both"/>
        <w:rPr>
          <w:sz w:val="24"/>
          <w:szCs w:val="24"/>
        </w:rPr>
      </w:pPr>
      <w:r>
        <w:rPr>
          <w:sz w:val="24"/>
          <w:szCs w:val="24"/>
        </w:rPr>
        <w:t>Έλεγχος ασφαλείας, μετρήσεις τάσεων παλμών, γειώσεων κ.λ.π.</w:t>
      </w:r>
    </w:p>
    <w:p>
      <w:pPr>
        <w:pStyle w:val="ListParagraph"/>
        <w:numPr>
          <w:ilvl w:val="0"/>
          <w:numId w:val="4"/>
        </w:numPr>
        <w:spacing w:lineRule="auto" w:line="300"/>
        <w:ind w:hanging="360" w:left="1276"/>
        <w:jc w:val="both"/>
        <w:rPr>
          <w:sz w:val="24"/>
          <w:szCs w:val="24"/>
        </w:rPr>
      </w:pPr>
      <w:r>
        <w:rPr>
          <w:sz w:val="24"/>
          <w:szCs w:val="24"/>
        </w:rPr>
        <w:t>Τον έλεγχο ικανότητος λειτουργίας και καλής αποδόσεως εντός των εργοστασιακών προδιαγραφών.</w:t>
      </w:r>
    </w:p>
    <w:p>
      <w:pPr>
        <w:pStyle w:val="ListParagraph"/>
        <w:numPr>
          <w:ilvl w:val="0"/>
          <w:numId w:val="4"/>
        </w:numPr>
        <w:spacing w:lineRule="auto" w:line="300"/>
        <w:ind w:hanging="360" w:left="1276"/>
        <w:jc w:val="both"/>
        <w:rPr>
          <w:sz w:val="24"/>
          <w:szCs w:val="24"/>
        </w:rPr>
      </w:pPr>
      <w:r>
        <w:rPr>
          <w:sz w:val="24"/>
          <w:szCs w:val="24"/>
        </w:rPr>
        <w:t>Πλήρης έλεγχος όλων των μονάδων/καρτών του συστήματος. Λήψη και διερεύνηση διαγνωστικών αρχείων για εντοπισμό δυσλειτουργούντων, ή και ελαττωματικών ανταλλακτικών.</w:t>
      </w:r>
    </w:p>
    <w:p>
      <w:pPr>
        <w:pStyle w:val="ListParagraph"/>
        <w:numPr>
          <w:ilvl w:val="0"/>
          <w:numId w:val="4"/>
        </w:numPr>
        <w:spacing w:lineRule="auto" w:line="300"/>
        <w:ind w:hanging="360" w:left="1276"/>
        <w:jc w:val="both"/>
        <w:rPr>
          <w:sz w:val="24"/>
          <w:szCs w:val="24"/>
        </w:rPr>
      </w:pPr>
      <w:r>
        <w:rPr>
          <w:sz w:val="24"/>
          <w:szCs w:val="24"/>
        </w:rPr>
        <w:t>Απομάκρυνση σκόνης εσωτερικά και εξωτερικά.</w:t>
      </w:r>
    </w:p>
    <w:p>
      <w:pPr>
        <w:pStyle w:val="ListParagraph"/>
        <w:numPr>
          <w:ilvl w:val="0"/>
          <w:numId w:val="4"/>
        </w:numPr>
        <w:spacing w:lineRule="auto" w:line="300"/>
        <w:ind w:hanging="360" w:left="1276"/>
        <w:jc w:val="both"/>
        <w:rPr>
          <w:sz w:val="24"/>
          <w:szCs w:val="24"/>
        </w:rPr>
      </w:pPr>
      <w:r>
        <w:rPr>
          <w:sz w:val="24"/>
          <w:szCs w:val="24"/>
        </w:rPr>
        <w:t>Έλεγχος, και εφόσον χρειαστεί ρύθμιση των τάσεων των τροφοδοτικών των συστημάτων.</w:t>
      </w:r>
    </w:p>
    <w:p>
      <w:pPr>
        <w:pStyle w:val="ListParagraph"/>
        <w:numPr>
          <w:ilvl w:val="0"/>
          <w:numId w:val="4"/>
        </w:numPr>
        <w:spacing w:lineRule="auto" w:line="300"/>
        <w:ind w:hanging="360" w:left="1276"/>
        <w:jc w:val="both"/>
        <w:rPr>
          <w:sz w:val="24"/>
          <w:szCs w:val="24"/>
        </w:rPr>
      </w:pPr>
      <w:r>
        <w:rPr>
          <w:sz w:val="24"/>
          <w:szCs w:val="24"/>
        </w:rPr>
        <w:t xml:space="preserve">Έλεγχος της ποιότητας εικόνας. Επαληθεύσεις εργοστασιακών τιμών και ρυθμίσεις εφόσον διαπιστωθεί απόκλιση. </w:t>
      </w:r>
    </w:p>
    <w:p>
      <w:pPr>
        <w:pStyle w:val="ListParagraph"/>
        <w:numPr>
          <w:ilvl w:val="0"/>
          <w:numId w:val="4"/>
        </w:numPr>
        <w:spacing w:lineRule="auto" w:line="300"/>
        <w:ind w:hanging="360" w:left="1276"/>
        <w:jc w:val="both"/>
        <w:rPr>
          <w:sz w:val="24"/>
          <w:szCs w:val="24"/>
        </w:rPr>
      </w:pPr>
      <w:r>
        <w:rPr>
          <w:sz w:val="24"/>
          <w:szCs w:val="24"/>
        </w:rPr>
        <w:t>Έλεγχος επικέντρωσης και καθετότητας ακτινοβολίας</w:t>
      </w:r>
    </w:p>
    <w:p>
      <w:pPr>
        <w:pStyle w:val="ListParagraph"/>
        <w:numPr>
          <w:ilvl w:val="0"/>
          <w:numId w:val="4"/>
        </w:numPr>
        <w:spacing w:lineRule="auto" w:line="300"/>
        <w:ind w:hanging="360" w:left="1276"/>
        <w:jc w:val="both"/>
        <w:rPr>
          <w:sz w:val="24"/>
          <w:szCs w:val="24"/>
        </w:rPr>
      </w:pPr>
      <w:r>
        <w:rPr>
          <w:sz w:val="24"/>
          <w:szCs w:val="24"/>
        </w:rPr>
        <w:t xml:space="preserve">Τον ποιοτικό έλεγχο (ρύθμιση </w:t>
      </w:r>
      <w:r>
        <w:rPr>
          <w:sz w:val="24"/>
          <w:szCs w:val="24"/>
          <w:lang w:val="en-US"/>
        </w:rPr>
        <w:t>KV</w:t>
      </w:r>
      <w:r>
        <w:rPr>
          <w:sz w:val="24"/>
          <w:szCs w:val="24"/>
        </w:rPr>
        <w:t xml:space="preserve">, </w:t>
      </w:r>
      <w:r>
        <w:rPr>
          <w:sz w:val="24"/>
          <w:szCs w:val="24"/>
          <w:lang w:val="en-US"/>
        </w:rPr>
        <w:t>mA</w:t>
      </w:r>
      <w:r>
        <w:rPr>
          <w:sz w:val="24"/>
          <w:szCs w:val="24"/>
        </w:rPr>
        <w:t>, δόση ακτινοβολίας κ.τ.λ.)</w:t>
      </w:r>
    </w:p>
    <w:p>
      <w:pPr>
        <w:pStyle w:val="ListParagraph"/>
        <w:numPr>
          <w:ilvl w:val="0"/>
          <w:numId w:val="4"/>
        </w:numPr>
        <w:spacing w:lineRule="auto" w:line="300"/>
        <w:ind w:hanging="360" w:left="1276"/>
        <w:jc w:val="both"/>
        <w:rPr>
          <w:sz w:val="24"/>
          <w:szCs w:val="24"/>
        </w:rPr>
      </w:pPr>
      <w:r>
        <w:rPr>
          <w:sz w:val="24"/>
          <w:szCs w:val="24"/>
        </w:rPr>
        <w:t>Την συμπλήρωση ή ενδεχομένως αντικατάσταση των απαραίτητων εξαρτημάτων ή αναλωσίμων του συστήματος</w:t>
      </w:r>
    </w:p>
    <w:p>
      <w:pPr>
        <w:pStyle w:val="ListParagraph"/>
        <w:numPr>
          <w:ilvl w:val="0"/>
          <w:numId w:val="4"/>
        </w:numPr>
        <w:spacing w:lineRule="auto" w:line="300"/>
        <w:ind w:hanging="360" w:left="1276"/>
        <w:jc w:val="both"/>
        <w:rPr>
          <w:sz w:val="24"/>
          <w:szCs w:val="24"/>
        </w:rPr>
      </w:pPr>
      <w:r>
        <w:rPr>
          <w:sz w:val="24"/>
          <w:szCs w:val="24"/>
        </w:rPr>
        <w:t>Έλεγχος μηχανολογικών τμημάτων και λιπάνσεις όπου ενδείκνυται.</w:t>
      </w:r>
    </w:p>
    <w:p>
      <w:pPr>
        <w:pStyle w:val="ListParagraph"/>
        <w:numPr>
          <w:ilvl w:val="0"/>
          <w:numId w:val="4"/>
        </w:numPr>
        <w:spacing w:lineRule="auto" w:line="300"/>
        <w:ind w:hanging="360" w:left="1276"/>
        <w:jc w:val="both"/>
        <w:rPr>
          <w:sz w:val="24"/>
          <w:szCs w:val="24"/>
        </w:rPr>
      </w:pPr>
      <w:r>
        <w:rPr>
          <w:sz w:val="24"/>
          <w:szCs w:val="24"/>
        </w:rPr>
        <w:t>Έλεγχος ασφαλούς λειτουργίας φρένων.</w:t>
      </w:r>
    </w:p>
    <w:p>
      <w:pPr>
        <w:pStyle w:val="ListParagraph"/>
        <w:spacing w:lineRule="auto" w:line="300"/>
        <w:ind w:left="1276"/>
        <w:jc w:val="both"/>
        <w:rPr>
          <w:sz w:val="24"/>
          <w:szCs w:val="24"/>
        </w:rPr>
      </w:pPr>
      <w:r>
        <w:rPr>
          <w:sz w:val="24"/>
          <w:szCs w:val="24"/>
        </w:rPr>
      </w:r>
    </w:p>
    <w:p>
      <w:pPr>
        <w:pStyle w:val="ListParagraph"/>
        <w:numPr>
          <w:ilvl w:val="0"/>
          <w:numId w:val="2"/>
        </w:numPr>
        <w:spacing w:lineRule="auto" w:line="300" w:before="0" w:after="0"/>
        <w:ind w:hanging="567" w:left="567"/>
        <w:contextualSpacing/>
        <w:jc w:val="both"/>
        <w:rPr>
          <w:i/>
          <w:i/>
          <w:iCs/>
          <w:sz w:val="24"/>
          <w:szCs w:val="24"/>
          <w:u w:val="single"/>
        </w:rPr>
      </w:pPr>
      <w:r>
        <w:rPr>
          <w:sz w:val="24"/>
          <w:szCs w:val="24"/>
        </w:rPr>
        <w:t xml:space="preserve">Σε περίπτωση εμφάνισης βλάβης κατά την επανεγκατάσταση ο ανάδοχος θα αναλάβει το κόστος αποκατάστασή της χωρίς καμία πρόσθετη οικονομική επιβάρυνση. </w:t>
      </w:r>
    </w:p>
    <w:p>
      <w:pPr>
        <w:pStyle w:val="ListParagraph"/>
        <w:numPr>
          <w:ilvl w:val="0"/>
          <w:numId w:val="2"/>
        </w:numPr>
        <w:spacing w:lineRule="auto" w:line="300" w:before="0" w:after="0"/>
        <w:ind w:hanging="567" w:left="567"/>
        <w:contextualSpacing/>
        <w:jc w:val="both"/>
        <w:rPr>
          <w:i/>
          <w:i/>
          <w:iCs/>
          <w:sz w:val="24"/>
          <w:szCs w:val="24"/>
          <w:u w:val="single"/>
        </w:rPr>
      </w:pPr>
      <w:r>
        <w:rPr>
          <w:sz w:val="24"/>
          <w:szCs w:val="24"/>
        </w:rPr>
        <w:t>Για όλες τις παραπάνω εργασίες, που αφορούν στην επανεγκατάσταση και επαναλειτουργία του Ακτινολογικού Μηχανήματος να δοθεί εγγύηση καλής εκτέλεσης για τρεις (3) μήνες.</w:t>
      </w:r>
    </w:p>
    <w:p>
      <w:pPr>
        <w:pStyle w:val="ListParagraph"/>
        <w:numPr>
          <w:ilvl w:val="0"/>
          <w:numId w:val="2"/>
        </w:numPr>
        <w:spacing w:lineRule="auto" w:line="300" w:before="0" w:after="0"/>
        <w:ind w:hanging="567" w:left="567"/>
        <w:contextualSpacing/>
        <w:jc w:val="both"/>
        <w:rPr>
          <w:i/>
          <w:i/>
          <w:iCs/>
          <w:sz w:val="24"/>
          <w:szCs w:val="24"/>
        </w:rPr>
      </w:pPr>
      <w:r>
        <w:rPr>
          <w:sz w:val="24"/>
          <w:szCs w:val="24"/>
        </w:rPr>
        <w:t xml:space="preserve">Η Ανάδοχος υποχρεούται μετά το πέρας των εργασιών επανεγκατάστασης, να πραγματοποιήσει έλεγχο Ηλεκτρικής Ασφάλειας και να εκδώσει αντίστοιχο πιστοποιητικό. </w:t>
      </w:r>
      <w:r>
        <w:rPr>
          <w:i/>
          <w:iCs/>
          <w:sz w:val="24"/>
          <w:szCs w:val="24"/>
          <w:u w:val="single"/>
        </w:rPr>
        <w:t>Να κατατεθεί το σχετικό Πιστοποιητικό Διακρίβωσης του οργάνου μέτρησης Ηλεκτρικής Ασφάλειας.</w:t>
      </w:r>
    </w:p>
    <w:p>
      <w:pPr>
        <w:pStyle w:val="ListParagraph"/>
        <w:numPr>
          <w:ilvl w:val="0"/>
          <w:numId w:val="2"/>
        </w:numPr>
        <w:spacing w:lineRule="auto" w:line="300" w:before="0" w:after="0"/>
        <w:ind w:hanging="567" w:left="567"/>
        <w:contextualSpacing/>
        <w:jc w:val="both"/>
        <w:rPr>
          <w:i/>
          <w:i/>
          <w:iCs/>
          <w:sz w:val="24"/>
          <w:szCs w:val="24"/>
        </w:rPr>
      </w:pPr>
      <w:r>
        <w:rPr>
          <w:sz w:val="24"/>
          <w:szCs w:val="24"/>
        </w:rPr>
        <w:t xml:space="preserve">Η ανάδοχος εταιρεία θα πρέπει να βεβαιώνει ότι διαθέτει όλα τα ειδικά όργανα και εργαλεία που απαιτούνται για τον έλεγχο καλής λειτουργίας και συντήρησης του μηχανήματος, σύμφωνα με τις απαιτήσεις του κατασκευαστή. </w:t>
      </w:r>
      <w:r>
        <w:rPr>
          <w:i/>
          <w:iCs/>
          <w:sz w:val="24"/>
          <w:szCs w:val="24"/>
          <w:u w:val="single"/>
        </w:rPr>
        <w:t>Όλες οι συσκευές θα πρέπει να είναι διακριβωμένες και τα σχετικά φύλλα διακρίβωσης να είναι σε ισχύ και  να κατατεθούν.</w:t>
      </w:r>
    </w:p>
    <w:p>
      <w:pPr>
        <w:pStyle w:val="ListParagraph"/>
        <w:numPr>
          <w:ilvl w:val="0"/>
          <w:numId w:val="2"/>
        </w:numPr>
        <w:spacing w:lineRule="auto" w:line="300" w:before="0" w:after="0"/>
        <w:ind w:hanging="567" w:left="567"/>
        <w:contextualSpacing/>
        <w:jc w:val="both"/>
        <w:rPr>
          <w:sz w:val="24"/>
          <w:szCs w:val="24"/>
        </w:rPr>
      </w:pPr>
      <w:r>
        <w:rPr>
          <w:sz w:val="24"/>
          <w:szCs w:val="24"/>
        </w:rPr>
        <w:t>Η ανάδοχος εταιρεία να καταθέσει βεβαίωση επάρκειας και διάθεσης γνήσιων ανταλλακτικών από τον κατασκευαστικό οίκο  για το συγκεκριμένο μοντέλο του μηχανήματος  που περιγράφεται, για τουλάχιστον ένα (1) έτος από την ημερομηνία της επανεγκατάστασης, επί ποινή απόρριψης.</w:t>
      </w:r>
    </w:p>
    <w:p>
      <w:pPr>
        <w:pStyle w:val="ListParagraph"/>
        <w:ind w:left="1080"/>
        <w:jc w:val="both"/>
        <w:rPr>
          <w:sz w:val="28"/>
          <w:szCs w:val="28"/>
        </w:rPr>
      </w:pPr>
      <w:r>
        <w:rPr>
          <w:sz w:val="28"/>
          <w:szCs w:val="28"/>
        </w:rPr>
      </w:r>
    </w:p>
    <w:p>
      <w:pPr>
        <w:pStyle w:val="Normal"/>
        <w:spacing w:before="0" w:after="160"/>
        <w:ind w:left="360"/>
        <w:jc w:val="both"/>
        <w:rPr>
          <w:sz w:val="28"/>
          <w:szCs w:val="28"/>
        </w:rPr>
      </w:pPr>
      <w:r>
        <w:rPr>
          <w:sz w:val="28"/>
          <w:szCs w:val="28"/>
        </w:rPr>
      </w:r>
    </w:p>
    <w:sectPr>
      <w:type w:val="nextPage"/>
      <w:pgSz w:w="11906" w:h="16838"/>
      <w:pgMar w:left="993" w:right="991" w:gutter="0" w:header="0" w:top="851" w:footer="0" w:bottom="709"/>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a1"/>
    <w:family w:val="roman"/>
    <w:pitch w:val="variable"/>
  </w:font>
  <w:font w:name="Calibri">
    <w:charset w:val="a1"/>
    <w:family w:val="roman"/>
    <w:pitch w:val="variable"/>
  </w:font>
  <w:font w:name="Segoe UI">
    <w:charset w:val="a1"/>
    <w:family w:val="swiss"/>
    <w:pitch w:val="variable"/>
  </w:font>
  <w:font w:name="Liberation Sans">
    <w:altName w:val="Arial"/>
    <w:charset w:val="a1"/>
    <w:family w:val="swiss"/>
    <w:pitch w:val="variable"/>
  </w:font>
  <w:font w:name="Wingdings">
    <w:charset w:val="02"/>
    <w:family w:val="auto"/>
    <w:pitch w:val="variable"/>
  </w:font>
  <w:font w:name="Courier New">
    <w:charset w:val="01"/>
    <w:family w:val="modern"/>
    <w:pitch w:val="fixed"/>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1"/>
      <w:numFmt w:val="decimal"/>
      <w:lvlText w:val="%1."/>
      <w:lvlJc w:val="left"/>
      <w:pPr>
        <w:tabs>
          <w:tab w:val="num" w:pos="0"/>
        </w:tabs>
        <w:ind w:left="1080" w:hanging="360"/>
      </w:pPr>
      <w:rPr/>
    </w:lvl>
    <w:lvl w:ilvl="1">
      <w:start w:val="1"/>
      <w:numFmt w:val="lowerLetter"/>
      <w:lvlText w:val="%2."/>
      <w:lvlJc w:val="left"/>
      <w:pPr>
        <w:tabs>
          <w:tab w:val="num" w:pos="0"/>
        </w:tabs>
        <w:ind w:left="1800" w:hanging="360"/>
      </w:pPr>
      <w:rPr/>
    </w:lvl>
    <w:lvl w:ilvl="2">
      <w:start w:val="1"/>
      <w:numFmt w:val="lowerRoman"/>
      <w:lvlText w:val="%3."/>
      <w:lvlJc w:val="right"/>
      <w:pPr>
        <w:tabs>
          <w:tab w:val="num" w:pos="0"/>
        </w:tabs>
        <w:ind w:left="2520" w:hanging="180"/>
      </w:pPr>
      <w:rPr/>
    </w:lvl>
    <w:lvl w:ilvl="3">
      <w:start w:val="1"/>
      <w:numFmt w:val="decimal"/>
      <w:lvlText w:val="%4."/>
      <w:lvlJc w:val="left"/>
      <w:pPr>
        <w:tabs>
          <w:tab w:val="num" w:pos="0"/>
        </w:tabs>
        <w:ind w:left="3240" w:hanging="360"/>
      </w:pPr>
      <w:rPr/>
    </w:lvl>
    <w:lvl w:ilvl="4">
      <w:start w:val="1"/>
      <w:numFmt w:val="lowerLetter"/>
      <w:lvlText w:val="%5."/>
      <w:lvlJc w:val="left"/>
      <w:pPr>
        <w:tabs>
          <w:tab w:val="num" w:pos="0"/>
        </w:tabs>
        <w:ind w:left="3960" w:hanging="360"/>
      </w:pPr>
      <w:rPr/>
    </w:lvl>
    <w:lvl w:ilvl="5">
      <w:start w:val="1"/>
      <w:numFmt w:val="lowerRoman"/>
      <w:lvlText w:val="%6."/>
      <w:lvlJc w:val="right"/>
      <w:pPr>
        <w:tabs>
          <w:tab w:val="num" w:pos="0"/>
        </w:tabs>
        <w:ind w:left="4680" w:hanging="180"/>
      </w:pPr>
      <w:rPr/>
    </w:lvl>
    <w:lvl w:ilvl="6">
      <w:start w:val="1"/>
      <w:numFmt w:val="decimal"/>
      <w:lvlText w:val="%7."/>
      <w:lvlJc w:val="left"/>
      <w:pPr>
        <w:tabs>
          <w:tab w:val="num" w:pos="0"/>
        </w:tabs>
        <w:ind w:left="5400" w:hanging="360"/>
      </w:pPr>
      <w:rPr/>
    </w:lvl>
    <w:lvl w:ilvl="7">
      <w:start w:val="1"/>
      <w:numFmt w:val="lowerLetter"/>
      <w:lvlText w:val="%8."/>
      <w:lvlJc w:val="left"/>
      <w:pPr>
        <w:tabs>
          <w:tab w:val="num" w:pos="0"/>
        </w:tabs>
        <w:ind w:left="6120" w:hanging="360"/>
      </w:pPr>
      <w:rPr/>
    </w:lvl>
    <w:lvl w:ilvl="8">
      <w:start w:val="1"/>
      <w:numFmt w:val="lowerRoman"/>
      <w:lvlText w:val="%9."/>
      <w:lvlJc w:val="right"/>
      <w:pPr>
        <w:tabs>
          <w:tab w:val="num" w:pos="0"/>
        </w:tabs>
        <w:ind w:left="6840" w:hanging="180"/>
      </w:pPr>
      <w:rPr/>
    </w:lvl>
  </w:abstractNum>
  <w:abstractNum w:abstractNumId="3">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10"/>
  <w:defaultTabStop w:val="720"/>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l-G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l-GR" w:eastAsia="en-US" w:bidi="ar-SA"/>
      </w:rPr>
    </w:rPrDefault>
    <w:pPrDefault>
      <w:pPr>
        <w:suppressAutoHyphens w:val="true"/>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el-GR" w:eastAsia="en-US" w:bidi="ar-SA"/>
    </w:rPr>
  </w:style>
  <w:style w:type="character" w:styleId="DefaultParagraphFont" w:default="1">
    <w:name w:val="Default Paragraph Font"/>
    <w:uiPriority w:val="1"/>
    <w:semiHidden/>
    <w:unhideWhenUsed/>
    <w:qFormat/>
    <w:rPr/>
  </w:style>
  <w:style w:type="character" w:styleId="Char" w:customStyle="1">
    <w:name w:val="Κείμενο πλαισίου Char"/>
    <w:basedOn w:val="DefaultParagraphFont"/>
    <w:link w:val="BalloonText"/>
    <w:uiPriority w:val="99"/>
    <w:semiHidden/>
    <w:qFormat/>
    <w:rsid w:val="00a355c0"/>
    <w:rPr>
      <w:rFonts w:ascii="Segoe UI" w:hAnsi="Segoe UI" w:cs="Segoe UI"/>
      <w:sz w:val="18"/>
      <w:szCs w:val="18"/>
    </w:rPr>
  </w:style>
  <w:style w:type="paragraph" w:styleId="Style14">
    <w:name w:val="Επικεφαλίδα"/>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Style15">
    <w:name w:val="Ευρετήριο"/>
    <w:basedOn w:val="Normal"/>
    <w:qFormat/>
    <w:pPr>
      <w:suppressLineNumbers/>
    </w:pPr>
    <w:rPr>
      <w:rFonts w:cs="Lucida Sans"/>
    </w:rPr>
  </w:style>
  <w:style w:type="paragraph" w:styleId="ListParagraph">
    <w:name w:val="List Paragraph"/>
    <w:basedOn w:val="Normal"/>
    <w:uiPriority w:val="34"/>
    <w:qFormat/>
    <w:rsid w:val="006f4d11"/>
    <w:pPr>
      <w:spacing w:lineRule="auto" w:line="276" w:before="0" w:after="200"/>
      <w:ind w:left="720"/>
      <w:contextualSpacing/>
    </w:pPr>
    <w:rPr/>
  </w:style>
  <w:style w:type="paragraph" w:styleId="NoSpacing">
    <w:name w:val="No Spacing"/>
    <w:uiPriority w:val="1"/>
    <w:qFormat/>
    <w:rsid w:val="002218ba"/>
    <w:pPr>
      <w:widowControl/>
      <w:bidi w:val="0"/>
      <w:spacing w:lineRule="auto" w:line="240" w:before="0" w:after="0"/>
      <w:jc w:val="left"/>
    </w:pPr>
    <w:rPr>
      <w:rFonts w:cs="Calibri" w:cstheme="minorHAnsi" w:ascii="Calibri" w:hAnsi="Calibri" w:eastAsia="Calibri"/>
      <w:color w:val="auto"/>
      <w:kern w:val="0"/>
      <w:sz w:val="22"/>
      <w:szCs w:val="22"/>
      <w:lang w:val="el-GR" w:eastAsia="en-US" w:bidi="ar-SA"/>
    </w:rPr>
  </w:style>
  <w:style w:type="paragraph" w:styleId="BalloonText">
    <w:name w:val="Balloon Text"/>
    <w:basedOn w:val="Normal"/>
    <w:link w:val="Char"/>
    <w:uiPriority w:val="99"/>
    <w:semiHidden/>
    <w:unhideWhenUsed/>
    <w:qFormat/>
    <w:rsid w:val="00a355c0"/>
    <w:pPr>
      <w:spacing w:lineRule="auto" w:line="240" w:before="0" w:after="0"/>
    </w:pPr>
    <w:rPr>
      <w:rFonts w:ascii="Segoe UI" w:hAnsi="Segoe UI" w:cs="Segoe UI"/>
      <w:sz w:val="18"/>
      <w:szCs w:val="18"/>
    </w:rPr>
  </w:style>
  <w:style w:type="numbering" w:styleId="Style16" w:default="1">
    <w:name w:val="Χωρίς κατάλογο"/>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Θέμα του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14</TotalTime>
  <Application>LibreOffice/25.2.3.2$Windows_X86_64 LibreOffice_project/bbb074479178df812d175f709636b368952c2ce3</Application>
  <AppVersion>15.0000</AppVersion>
  <Pages>2</Pages>
  <Words>709</Words>
  <Characters>4579</Characters>
  <CharactersWithSpaces>5245</CharactersWithSpaces>
  <Paragraphs>37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2024-09-10T07:17:00Z</dcterms:created>
  <dc:creator>Κωνσταντίνος Μπαράκος</dc:creator>
  <dc:description/>
  <dc:language>el-GR</dc:language>
  <cp:lastModifiedBy>Κωνσταντίνος Μπαράκος</cp:lastModifiedBy>
  <cp:lastPrinted>2024-09-03T07:52:00Z</cp:lastPrinted>
  <dcterms:modified xsi:type="dcterms:W3CDTF">2024-09-13T06:49:00Z</dcterms:modified>
  <cp:revision>6</cp:revision>
  <dc:subject/>
  <dc:title/>
</cp:coreProperties>
</file>

<file path=docProps/custom.xml><?xml version="1.0" encoding="utf-8"?>
<Properties xmlns="http://schemas.openxmlformats.org/officeDocument/2006/custom-properties" xmlns:vt="http://schemas.openxmlformats.org/officeDocument/2006/docPropsVTypes"/>
</file>